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2732B" w14:textId="77777777" w:rsidR="007624F6" w:rsidRPr="007F3B9C" w:rsidRDefault="007624F6" w:rsidP="007624F6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  <w:r w:rsidRPr="007F3B9C">
        <w:rPr>
          <w:rFonts w:ascii="Calibri Light" w:hAnsi="Calibri Light"/>
          <w:b/>
          <w:sz w:val="24"/>
        </w:rPr>
        <w:t>APPENDIX D</w:t>
      </w:r>
    </w:p>
    <w:p w14:paraId="1598FF48" w14:textId="77777777" w:rsidR="007624F6" w:rsidRPr="007F3B9C" w:rsidRDefault="007624F6" w:rsidP="007624F6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</w:p>
    <w:p w14:paraId="29862BA6" w14:textId="77777777" w:rsidR="007624F6" w:rsidRPr="007F3B9C" w:rsidRDefault="007624F6" w:rsidP="007624F6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caps/>
        </w:rPr>
      </w:pPr>
      <w:r w:rsidRPr="007F3B9C">
        <w:rPr>
          <w:rFonts w:ascii="Calibri Light" w:hAnsi="Calibri Light"/>
          <w:b/>
          <w:caps/>
        </w:rPr>
        <w:t>“Associated Firms” and “Umbrella Firms”</w:t>
      </w:r>
    </w:p>
    <w:p w14:paraId="1B454584" w14:textId="77777777" w:rsidR="007624F6" w:rsidRPr="007F3B9C" w:rsidRDefault="007624F6" w:rsidP="007624F6">
      <w:pPr>
        <w:pStyle w:val="BodyTextIndent"/>
        <w:pBdr>
          <w:bottom w:val="thinThickSmallGap" w:sz="12" w:space="1" w:color="auto"/>
        </w:pBdr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</w:p>
    <w:p w14:paraId="4B8893FF" w14:textId="77777777" w:rsidR="007624F6" w:rsidRPr="007F3B9C" w:rsidRDefault="007624F6" w:rsidP="007624F6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</w:p>
    <w:p w14:paraId="51A27C92" w14:textId="77777777" w:rsidR="007624F6" w:rsidRPr="007F3B9C" w:rsidRDefault="007624F6" w:rsidP="007624F6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  <w:r w:rsidRPr="007F3B9C">
        <w:rPr>
          <w:rFonts w:ascii="Calibri Light" w:hAnsi="Calibri Light"/>
          <w:sz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548"/>
        <w:gridCol w:w="6480"/>
      </w:tblGrid>
      <w:tr w:rsidR="007624F6" w:rsidRPr="007F3B9C" w14:paraId="03032465" w14:textId="77777777" w:rsidTr="00FB4AAE">
        <w:trPr>
          <w:trHeight w:val="242"/>
        </w:trPr>
        <w:tc>
          <w:tcPr>
            <w:tcW w:w="1548" w:type="dxa"/>
            <w:shd w:val="clear" w:color="auto" w:fill="auto"/>
          </w:tcPr>
          <w:p w14:paraId="6191CC32" w14:textId="77777777" w:rsidR="007624F6" w:rsidRPr="007F3B9C" w:rsidRDefault="007624F6" w:rsidP="00FB4AAE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szCs w:val="22"/>
              </w:rPr>
            </w:pPr>
          </w:p>
          <w:p w14:paraId="31538E3B" w14:textId="77777777" w:rsidR="007624F6" w:rsidRPr="007F3B9C" w:rsidRDefault="007624F6" w:rsidP="00FB4AAE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szCs w:val="22"/>
              </w:rPr>
            </w:pPr>
            <w:r w:rsidRPr="007F3B9C">
              <w:rPr>
                <w:rFonts w:ascii="Calibri Light" w:hAnsi="Calibri Light"/>
                <w:szCs w:val="22"/>
              </w:rPr>
              <w:t>Name of Firm: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shd w:val="clear" w:color="auto" w:fill="auto"/>
          </w:tcPr>
          <w:p w14:paraId="6D842EC5" w14:textId="77777777" w:rsidR="007624F6" w:rsidRPr="007F3B9C" w:rsidRDefault="007624F6" w:rsidP="00FB4AAE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jc w:val="left"/>
              <w:rPr>
                <w:rFonts w:ascii="Calibri Light" w:hAnsi="Calibri Light"/>
                <w:szCs w:val="22"/>
              </w:rPr>
            </w:pPr>
            <w:r w:rsidRPr="007F3B9C">
              <w:rPr>
                <w:rFonts w:ascii="Calibri Light" w:hAnsi="Calibri Light"/>
                <w:spacing w:val="-2"/>
              </w:rPr>
              <w:t>McCarthy Tétrault LLP; McCarthy Tétrault Registered Foreign Lawyers and Solicitors; McCarthy Tétrault (</w:t>
            </w:r>
            <w:smartTag w:uri="urn:schemas-microsoft-com:office:smarttags" w:element="place">
              <w:smartTag w:uri="urn:schemas-microsoft-com:office:smarttags" w:element="State">
                <w:r w:rsidRPr="007F3B9C">
                  <w:rPr>
                    <w:rFonts w:ascii="Calibri Light" w:hAnsi="Calibri Light"/>
                    <w:spacing w:val="-2"/>
                  </w:rPr>
                  <w:t>New York</w:t>
                </w:r>
              </w:smartTag>
            </w:smartTag>
            <w:r w:rsidRPr="007F3B9C">
              <w:rPr>
                <w:rFonts w:ascii="Calibri Light" w:hAnsi="Calibri Light"/>
                <w:spacing w:val="-2"/>
              </w:rPr>
              <w:t>) LLP</w:t>
            </w:r>
          </w:p>
        </w:tc>
      </w:tr>
    </w:tbl>
    <w:p w14:paraId="2A97EEAA" w14:textId="77777777" w:rsidR="007624F6" w:rsidRPr="007F3B9C" w:rsidRDefault="007624F6" w:rsidP="007624F6">
      <w:pPr>
        <w:tabs>
          <w:tab w:val="left" w:pos="0"/>
        </w:tabs>
        <w:suppressAutoHyphens/>
        <w:jc w:val="both"/>
        <w:rPr>
          <w:rFonts w:ascii="Calibri Light" w:hAnsi="Calibri Light"/>
          <w:spacing w:val="-2"/>
          <w:sz w:val="22"/>
        </w:rPr>
      </w:pPr>
    </w:p>
    <w:p w14:paraId="21ABBD8A" w14:textId="77777777" w:rsidR="007624F6" w:rsidRPr="007F3B9C" w:rsidRDefault="007624F6" w:rsidP="007624F6">
      <w:pPr>
        <w:tabs>
          <w:tab w:val="left" w:pos="0"/>
        </w:tabs>
        <w:suppressAutoHyphens/>
        <w:jc w:val="both"/>
        <w:rPr>
          <w:rFonts w:ascii="Calibri Light" w:hAnsi="Calibri Light"/>
          <w:spacing w:val="-2"/>
          <w:sz w:val="22"/>
        </w:rPr>
      </w:pPr>
    </w:p>
    <w:p w14:paraId="54931014" w14:textId="77777777" w:rsidR="007624F6" w:rsidRPr="007F3B9C" w:rsidRDefault="007624F6" w:rsidP="007624F6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 Named Insureds under the CLLAS policies are McCarthy </w:t>
      </w:r>
      <w:proofErr w:type="spellStart"/>
      <w:r w:rsidRPr="007F3B9C">
        <w:rPr>
          <w:rFonts w:ascii="Calibri Light" w:hAnsi="Calibri Light"/>
          <w:spacing w:val="-2"/>
          <w:sz w:val="22"/>
        </w:rPr>
        <w:t>Tétrault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LLP; McCarthy </w:t>
      </w:r>
      <w:proofErr w:type="spellStart"/>
      <w:r w:rsidRPr="007F3B9C">
        <w:rPr>
          <w:rFonts w:ascii="Calibri Light" w:hAnsi="Calibri Light"/>
          <w:spacing w:val="-2"/>
          <w:sz w:val="22"/>
        </w:rPr>
        <w:t>Tétrault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Registered Foreign Lawyers and Solicitors and McCarthy </w:t>
      </w:r>
      <w:proofErr w:type="spellStart"/>
      <w:r w:rsidRPr="007F3B9C">
        <w:rPr>
          <w:rFonts w:ascii="Calibri Light" w:hAnsi="Calibri Light"/>
          <w:spacing w:val="-2"/>
          <w:sz w:val="22"/>
        </w:rPr>
        <w:t>Tétrault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(</w:t>
      </w:r>
      <w:smartTag w:uri="urn:schemas-microsoft-com:office:smarttags" w:element="place">
        <w:smartTag w:uri="urn:schemas-microsoft-com:office:smarttags" w:element="State">
          <w:r w:rsidRPr="007F3B9C">
            <w:rPr>
              <w:rFonts w:ascii="Calibri Light" w:hAnsi="Calibri Light"/>
              <w:spacing w:val="-2"/>
              <w:sz w:val="22"/>
            </w:rPr>
            <w:t>New York</w:t>
          </w:r>
        </w:smartTag>
      </w:smartTag>
      <w:r w:rsidRPr="007F3B9C">
        <w:rPr>
          <w:rFonts w:ascii="Calibri Light" w:hAnsi="Calibri Light"/>
          <w:spacing w:val="-2"/>
          <w:sz w:val="22"/>
        </w:rPr>
        <w:t>) LLP.</w:t>
      </w:r>
    </w:p>
    <w:p w14:paraId="28DCAAE8" w14:textId="77777777" w:rsidR="007624F6" w:rsidRPr="007F3B9C" w:rsidRDefault="007624F6" w:rsidP="007624F6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McCarthy &amp; McCarthy merged in 1989 with two Canadian firms, Black &amp; Company of 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Calgary</w:t>
        </w:r>
      </w:smartTag>
      <w:r w:rsidRPr="007F3B9C">
        <w:rPr>
          <w:rFonts w:ascii="Calibri Light" w:hAnsi="Calibri Light"/>
          <w:spacing w:val="-2"/>
          <w:sz w:val="22"/>
        </w:rPr>
        <w:t xml:space="preserve"> and Shrum, Liddle &amp; </w:t>
      </w:r>
      <w:proofErr w:type="spellStart"/>
      <w:r w:rsidRPr="007F3B9C">
        <w:rPr>
          <w:rFonts w:ascii="Calibri Light" w:hAnsi="Calibri Light"/>
          <w:spacing w:val="-2"/>
          <w:sz w:val="22"/>
        </w:rPr>
        <w:t>Hebenton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of </w:t>
      </w:r>
      <w:smartTag w:uri="urn:schemas-microsoft-com:office:smarttags" w:element="City">
        <w:smartTag w:uri="urn:schemas-microsoft-com:office:smarttags" w:element="place">
          <w:r w:rsidRPr="007F3B9C">
            <w:rPr>
              <w:rFonts w:ascii="Calibri Light" w:hAnsi="Calibri Light"/>
              <w:spacing w:val="-2"/>
              <w:sz w:val="22"/>
            </w:rPr>
            <w:t>Vancouver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, and the combined firm merged with Clarkson </w:t>
      </w:r>
      <w:proofErr w:type="spellStart"/>
      <w:r w:rsidRPr="007F3B9C">
        <w:rPr>
          <w:rFonts w:ascii="Calibri Light" w:hAnsi="Calibri Light"/>
          <w:spacing w:val="-2"/>
          <w:sz w:val="22"/>
        </w:rPr>
        <w:t>Tétrault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of Montréal in 1990 and all offices </w:t>
      </w:r>
      <w:proofErr w:type="spellStart"/>
      <w:r w:rsidRPr="007F3B9C">
        <w:rPr>
          <w:rFonts w:ascii="Calibri Light" w:hAnsi="Calibri Light"/>
          <w:spacing w:val="-2"/>
          <w:sz w:val="22"/>
        </w:rPr>
        <w:t>practised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under the name of McCarthy </w:t>
      </w:r>
      <w:proofErr w:type="spellStart"/>
      <w:r w:rsidRPr="007F3B9C">
        <w:rPr>
          <w:rFonts w:ascii="Calibri Light" w:hAnsi="Calibri Light"/>
          <w:spacing w:val="-2"/>
          <w:sz w:val="22"/>
        </w:rPr>
        <w:t>Tétrault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.  These mergers were accomplished by the partners of Black &amp; Company, Shrum Liddle &amp; </w:t>
      </w:r>
      <w:proofErr w:type="spellStart"/>
      <w:r w:rsidRPr="007F3B9C">
        <w:rPr>
          <w:rFonts w:ascii="Calibri Light" w:hAnsi="Calibri Light"/>
          <w:spacing w:val="-2"/>
          <w:sz w:val="22"/>
        </w:rPr>
        <w:t>Hebenton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and Clarkson </w:t>
      </w:r>
      <w:proofErr w:type="spellStart"/>
      <w:r w:rsidRPr="007F3B9C">
        <w:rPr>
          <w:rFonts w:ascii="Calibri Light" w:hAnsi="Calibri Light"/>
          <w:spacing w:val="-2"/>
          <w:sz w:val="22"/>
        </w:rPr>
        <w:t>Tétrault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respectively joining McCarthy &amp; McCarthy and by McCarthy &amp; McCarthy changing its name to McCarthy </w:t>
      </w:r>
      <w:proofErr w:type="spellStart"/>
      <w:r w:rsidRPr="007F3B9C">
        <w:rPr>
          <w:rFonts w:ascii="Calibri Light" w:hAnsi="Calibri Light"/>
          <w:spacing w:val="-2"/>
          <w:sz w:val="22"/>
        </w:rPr>
        <w:t>Tétrault</w:t>
      </w:r>
      <w:proofErr w:type="spellEnd"/>
      <w:r w:rsidRPr="007F3B9C">
        <w:rPr>
          <w:rFonts w:ascii="Calibri Light" w:hAnsi="Calibri Light"/>
          <w:spacing w:val="-2"/>
          <w:sz w:val="22"/>
        </w:rPr>
        <w:t>.</w:t>
      </w:r>
    </w:p>
    <w:p w14:paraId="34953F61" w14:textId="77777777" w:rsidR="007624F6" w:rsidRPr="007F3B9C" w:rsidRDefault="007624F6" w:rsidP="007624F6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>The Firm has Canadian offices in Toronto, Montréal, Québec City, Calgary and Vancouver.  The Firm closed its Ottawa office in September 2010.</w:t>
      </w:r>
    </w:p>
    <w:p w14:paraId="5CAD2F73" w14:textId="77777777" w:rsidR="007624F6" w:rsidRPr="007F3B9C" w:rsidRDefault="007624F6" w:rsidP="007624F6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On </w:t>
      </w:r>
      <w:smartTag w:uri="urn:schemas-microsoft-com:office:smarttags" w:element="date">
        <w:smartTagPr>
          <w:attr w:name="Month" w:val="1"/>
          <w:attr w:name="Day" w:val="1"/>
          <w:attr w:name="Year" w:val="1999"/>
        </w:smartTagPr>
        <w:r w:rsidRPr="007F3B9C">
          <w:rPr>
            <w:rFonts w:ascii="Calibri Light" w:hAnsi="Calibri Light"/>
            <w:spacing w:val="-2"/>
            <w:sz w:val="22"/>
          </w:rPr>
          <w:t>January 1, 1999</w:t>
        </w:r>
      </w:smartTag>
      <w:r w:rsidRPr="007F3B9C">
        <w:rPr>
          <w:rFonts w:ascii="Calibri Light" w:hAnsi="Calibri Light"/>
          <w:spacing w:val="-2"/>
          <w:sz w:val="22"/>
        </w:rPr>
        <w:t xml:space="preserve">, McCarthy </w:t>
      </w:r>
      <w:proofErr w:type="spellStart"/>
      <w:r w:rsidRPr="007F3B9C">
        <w:rPr>
          <w:rFonts w:ascii="Calibri Light" w:hAnsi="Calibri Light"/>
          <w:spacing w:val="-2"/>
          <w:sz w:val="22"/>
        </w:rPr>
        <w:t>Tétrault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established a partnership in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London</w:t>
          </w:r>
        </w:smartTag>
        <w:r w:rsidRPr="007F3B9C">
          <w:rPr>
            <w:rFonts w:ascii="Calibri Light" w:hAnsi="Calibri Light"/>
            <w:spacing w:val="-2"/>
            <w:sz w:val="22"/>
          </w:rPr>
          <w:t xml:space="preserve">, </w:t>
        </w:r>
        <w:smartTag w:uri="urn:schemas-microsoft-com:office:smarttags" w:element="country-region">
          <w:r w:rsidRPr="007F3B9C">
            <w:rPr>
              <w:rFonts w:ascii="Calibri Light" w:hAnsi="Calibri Light"/>
              <w:spacing w:val="-2"/>
              <w:sz w:val="22"/>
            </w:rPr>
            <w:t>England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for the practice of English law.  The partnership is known as McCarthy </w:t>
      </w:r>
      <w:proofErr w:type="spellStart"/>
      <w:r w:rsidRPr="007F3B9C">
        <w:rPr>
          <w:rFonts w:ascii="Calibri Light" w:hAnsi="Calibri Light"/>
          <w:spacing w:val="-2"/>
          <w:sz w:val="22"/>
        </w:rPr>
        <w:t>Tétrault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, Registered Foreign Lawyers and Solicitors.  This partnership </w:t>
      </w:r>
      <w:proofErr w:type="spellStart"/>
      <w:r w:rsidRPr="007F3B9C">
        <w:rPr>
          <w:rFonts w:ascii="Calibri Light" w:hAnsi="Calibri Light"/>
          <w:spacing w:val="-2"/>
          <w:sz w:val="22"/>
        </w:rPr>
        <w:t>practises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English and Canadian law.</w:t>
      </w:r>
    </w:p>
    <w:p w14:paraId="7B0225FE" w14:textId="77777777" w:rsidR="007624F6" w:rsidRDefault="007624F6" w:rsidP="007624F6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In 2000, McCarthy </w:t>
      </w:r>
      <w:proofErr w:type="spellStart"/>
      <w:r w:rsidRPr="007F3B9C">
        <w:rPr>
          <w:rFonts w:ascii="Calibri Light" w:hAnsi="Calibri Light"/>
          <w:spacing w:val="-2"/>
          <w:sz w:val="22"/>
        </w:rPr>
        <w:t>Tétrault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established an office in </w:t>
      </w:r>
      <w:smartTag w:uri="urn:schemas-microsoft-com:office:smarttags" w:element="State">
        <w:r w:rsidRPr="007F3B9C">
          <w:rPr>
            <w:rFonts w:ascii="Calibri Light" w:hAnsi="Calibri Light"/>
            <w:spacing w:val="-2"/>
            <w:sz w:val="22"/>
          </w:rPr>
          <w:t>New York</w:t>
        </w:r>
      </w:smartTag>
      <w:r w:rsidRPr="007F3B9C">
        <w:rPr>
          <w:rFonts w:ascii="Calibri Light" w:hAnsi="Calibri Light"/>
          <w:spacing w:val="-2"/>
          <w:sz w:val="22"/>
        </w:rPr>
        <w:t xml:space="preserve"> in the premises of the </w:t>
      </w:r>
      <w:smartTag w:uri="urn:schemas-microsoft-com:office:smarttags" w:element="place">
        <w:smartTag w:uri="urn:schemas-microsoft-com:office:smarttags" w:element="State">
          <w:r w:rsidRPr="007F3B9C">
            <w:rPr>
              <w:rFonts w:ascii="Calibri Light" w:hAnsi="Calibri Light"/>
              <w:spacing w:val="-2"/>
              <w:sz w:val="22"/>
            </w:rPr>
            <w:t>New York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law firm Fried, Frank, Harris, Shriver &amp; Jacobson LLP.  In 2004, McCarthy </w:t>
      </w:r>
      <w:proofErr w:type="spellStart"/>
      <w:r w:rsidRPr="007F3B9C">
        <w:rPr>
          <w:rFonts w:ascii="Calibri Light" w:hAnsi="Calibri Light"/>
          <w:spacing w:val="-2"/>
          <w:sz w:val="22"/>
        </w:rPr>
        <w:t>Tétrault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LLP established McCarthy </w:t>
      </w:r>
      <w:proofErr w:type="spellStart"/>
      <w:r w:rsidRPr="007F3B9C">
        <w:rPr>
          <w:rFonts w:ascii="Calibri Light" w:hAnsi="Calibri Light"/>
          <w:spacing w:val="-2"/>
          <w:sz w:val="22"/>
        </w:rPr>
        <w:t>Tétrault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(</w:t>
      </w:r>
      <w:smartTag w:uri="urn:schemas-microsoft-com:office:smarttags" w:element="State">
        <w:r w:rsidRPr="007F3B9C">
          <w:rPr>
            <w:rFonts w:ascii="Calibri Light" w:hAnsi="Calibri Light"/>
            <w:spacing w:val="-2"/>
            <w:sz w:val="22"/>
          </w:rPr>
          <w:t>New York</w:t>
        </w:r>
      </w:smartTag>
      <w:r w:rsidRPr="007F3B9C">
        <w:rPr>
          <w:rFonts w:ascii="Calibri Light" w:hAnsi="Calibri Light"/>
          <w:spacing w:val="-2"/>
          <w:sz w:val="22"/>
        </w:rPr>
        <w:t xml:space="preserve">) LLP to carry on the business of its </w:t>
      </w:r>
      <w:smartTag w:uri="urn:schemas-microsoft-com:office:smarttags" w:element="State">
        <w:smartTag w:uri="urn:schemas-microsoft-com:office:smarttags" w:element="place">
          <w:r w:rsidRPr="007F3B9C">
            <w:rPr>
              <w:rFonts w:ascii="Calibri Light" w:hAnsi="Calibri Light"/>
              <w:spacing w:val="-2"/>
              <w:sz w:val="22"/>
            </w:rPr>
            <w:t>New York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office.  Subsequently, the </w:t>
      </w:r>
      <w:smartTag w:uri="urn:schemas-microsoft-com:office:smarttags" w:element="State">
        <w:smartTag w:uri="urn:schemas-microsoft-com:office:smarttags" w:element="place">
          <w:r w:rsidRPr="007F3B9C">
            <w:rPr>
              <w:rFonts w:ascii="Calibri Light" w:hAnsi="Calibri Light"/>
              <w:spacing w:val="-2"/>
              <w:sz w:val="22"/>
            </w:rPr>
            <w:t>New York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office was closed.</w:t>
      </w:r>
    </w:p>
    <w:p w14:paraId="1C786B99" w14:textId="77777777" w:rsidR="007624F6" w:rsidRPr="007F3B9C" w:rsidRDefault="007624F6" w:rsidP="007624F6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>
        <w:rPr>
          <w:rFonts w:ascii="Calibri Light" w:hAnsi="Calibri Light"/>
          <w:spacing w:val="-2"/>
          <w:sz w:val="22"/>
        </w:rPr>
        <w:t xml:space="preserve">Effective January 1, 2017, McCarthy </w:t>
      </w:r>
      <w:proofErr w:type="spellStart"/>
      <w:r>
        <w:rPr>
          <w:rFonts w:ascii="Calibri Light" w:hAnsi="Calibri Light"/>
          <w:spacing w:val="-2"/>
          <w:sz w:val="22"/>
        </w:rPr>
        <w:t>Tétrault</w:t>
      </w:r>
      <w:proofErr w:type="spellEnd"/>
      <w:r>
        <w:rPr>
          <w:rFonts w:ascii="Calibri Light" w:hAnsi="Calibri Light"/>
          <w:spacing w:val="-2"/>
          <w:sz w:val="22"/>
        </w:rPr>
        <w:t xml:space="preserve"> LLP acquired the business of Susan </w:t>
      </w:r>
      <w:proofErr w:type="spellStart"/>
      <w:r>
        <w:rPr>
          <w:rFonts w:ascii="Calibri Light" w:hAnsi="Calibri Light"/>
          <w:spacing w:val="-2"/>
          <w:sz w:val="22"/>
        </w:rPr>
        <w:t>Wortzman</w:t>
      </w:r>
      <w:proofErr w:type="spellEnd"/>
      <w:r>
        <w:rPr>
          <w:rFonts w:ascii="Calibri Light" w:hAnsi="Calibri Light"/>
          <w:spacing w:val="-2"/>
          <w:sz w:val="22"/>
        </w:rPr>
        <w:t xml:space="preserve"> Professional Corporation and Susan </w:t>
      </w:r>
      <w:proofErr w:type="spellStart"/>
      <w:r>
        <w:rPr>
          <w:rFonts w:ascii="Calibri Light" w:hAnsi="Calibri Light"/>
          <w:spacing w:val="-2"/>
          <w:sz w:val="22"/>
        </w:rPr>
        <w:t>Wortzman</w:t>
      </w:r>
      <w:proofErr w:type="spellEnd"/>
      <w:r>
        <w:rPr>
          <w:rFonts w:ascii="Calibri Light" w:hAnsi="Calibri Light"/>
          <w:spacing w:val="-2"/>
          <w:sz w:val="22"/>
        </w:rPr>
        <w:t xml:space="preserve"> became a partner of the firm.</w:t>
      </w:r>
    </w:p>
    <w:p w14:paraId="52C49CD4" w14:textId="77777777" w:rsidR="007624F6" w:rsidRPr="007F3B9C" w:rsidRDefault="007624F6" w:rsidP="007624F6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Coverage is provided to the predecessor firms to McCarthy </w:t>
      </w:r>
      <w:proofErr w:type="spellStart"/>
      <w:r w:rsidRPr="007F3B9C">
        <w:rPr>
          <w:rFonts w:ascii="Calibri Light" w:hAnsi="Calibri Light"/>
          <w:spacing w:val="-2"/>
          <w:sz w:val="22"/>
        </w:rPr>
        <w:t>Tétrault</w:t>
      </w:r>
      <w:proofErr w:type="spellEnd"/>
      <w:r w:rsidRPr="007F3B9C">
        <w:rPr>
          <w:rFonts w:ascii="Calibri Light" w:hAnsi="Calibri Light"/>
          <w:spacing w:val="-2"/>
          <w:sz w:val="22"/>
        </w:rPr>
        <w:t>, namely, McCarthy &amp; McCarthy, Black &amp; Compa</w:t>
      </w:r>
      <w:r>
        <w:rPr>
          <w:rFonts w:ascii="Calibri Light" w:hAnsi="Calibri Light"/>
          <w:spacing w:val="-2"/>
          <w:sz w:val="22"/>
        </w:rPr>
        <w:t xml:space="preserve">ny, Shrum, Liddle &amp; </w:t>
      </w:r>
      <w:proofErr w:type="spellStart"/>
      <w:r>
        <w:rPr>
          <w:rFonts w:ascii="Calibri Light" w:hAnsi="Calibri Light"/>
          <w:spacing w:val="-2"/>
          <w:sz w:val="22"/>
        </w:rPr>
        <w:t>Hebenton</w:t>
      </w:r>
      <w:proofErr w:type="spellEnd"/>
      <w:r>
        <w:rPr>
          <w:rFonts w:ascii="Calibri Light" w:hAnsi="Calibri Light"/>
          <w:spacing w:val="-2"/>
          <w:sz w:val="22"/>
        </w:rPr>
        <w:t>,</w:t>
      </w:r>
      <w:r w:rsidRPr="007F3B9C">
        <w:rPr>
          <w:rFonts w:ascii="Calibri Light" w:hAnsi="Calibri Light"/>
          <w:spacing w:val="-2"/>
          <w:sz w:val="22"/>
        </w:rPr>
        <w:t xml:space="preserve"> Clarkson </w:t>
      </w:r>
      <w:proofErr w:type="spellStart"/>
      <w:r w:rsidRPr="007F3B9C">
        <w:rPr>
          <w:rFonts w:ascii="Calibri Light" w:hAnsi="Calibri Light"/>
          <w:spacing w:val="-2"/>
          <w:sz w:val="22"/>
        </w:rPr>
        <w:t>Tétrault</w:t>
      </w:r>
      <w:proofErr w:type="spellEnd"/>
      <w:r>
        <w:rPr>
          <w:rFonts w:ascii="Calibri Light" w:hAnsi="Calibri Light"/>
          <w:spacing w:val="-2"/>
          <w:sz w:val="22"/>
        </w:rPr>
        <w:t xml:space="preserve"> and </w:t>
      </w:r>
      <w:proofErr w:type="spellStart"/>
      <w:r>
        <w:rPr>
          <w:rFonts w:ascii="Calibri Light" w:hAnsi="Calibri Light"/>
          <w:spacing w:val="-2"/>
          <w:sz w:val="22"/>
        </w:rPr>
        <w:t>Wortzman</w:t>
      </w:r>
      <w:proofErr w:type="spellEnd"/>
      <w:r>
        <w:rPr>
          <w:rFonts w:ascii="Calibri Light" w:hAnsi="Calibri Light"/>
          <w:spacing w:val="-2"/>
          <w:sz w:val="22"/>
        </w:rPr>
        <w:t xml:space="preserve"> Professional Corporation</w:t>
      </w:r>
      <w:r w:rsidRPr="007F3B9C">
        <w:rPr>
          <w:rFonts w:ascii="Calibri Light" w:hAnsi="Calibri Light"/>
          <w:spacing w:val="-2"/>
          <w:sz w:val="22"/>
        </w:rPr>
        <w:t>.</w:t>
      </w:r>
    </w:p>
    <w:p w14:paraId="18015008" w14:textId="77777777" w:rsidR="007A46BB" w:rsidRDefault="007624F6">
      <w:bookmarkStart w:id="0" w:name="_GoBack"/>
      <w:bookmarkEnd w:id="0"/>
    </w:p>
    <w:sectPr w:rsidR="007A46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4F6"/>
    <w:rsid w:val="007624F6"/>
    <w:rsid w:val="007C0D8E"/>
    <w:rsid w:val="00B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4:docId w14:val="02A5A548"/>
  <w15:chartTrackingRefBased/>
  <w15:docId w15:val="{D5676AE4-B22A-4772-A44A-2AADD63F7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24F6"/>
    <w:pPr>
      <w:widowControl w:val="0"/>
      <w:spacing w:after="0" w:line="240" w:lineRule="auto"/>
    </w:pPr>
    <w:rPr>
      <w:rFonts w:ascii="Univers" w:eastAsia="Times New Roman" w:hAnsi="Univers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7624F6"/>
    <w:pPr>
      <w:widowControl/>
      <w:tabs>
        <w:tab w:val="left" w:pos="1170"/>
        <w:tab w:val="left" w:pos="3690"/>
        <w:tab w:val="left" w:pos="8280"/>
      </w:tabs>
      <w:suppressAutoHyphens/>
      <w:ind w:left="3690" w:hanging="2520"/>
      <w:jc w:val="both"/>
    </w:pPr>
    <w:rPr>
      <w:rFonts w:ascii="Times New Roman" w:hAnsi="Times New Roman"/>
      <w:noProof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7624F6"/>
    <w:rPr>
      <w:rFonts w:ascii="Times New Roman" w:eastAsia="Times New Roman" w:hAnsi="Times New Roman" w:cs="Times New Roman"/>
      <w:noProof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Feng</dc:creator>
  <cp:keywords/>
  <dc:description/>
  <cp:lastModifiedBy>Annie Feng</cp:lastModifiedBy>
  <cp:revision>1</cp:revision>
  <dcterms:created xsi:type="dcterms:W3CDTF">2018-03-05T14:40:00Z</dcterms:created>
  <dcterms:modified xsi:type="dcterms:W3CDTF">2018-03-05T14:40:00Z</dcterms:modified>
</cp:coreProperties>
</file>